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2109A">
      <w:pPr>
        <w:pStyle w:val="10"/>
      </w:pPr>
      <w:r>
        <w:rPr>
          <w:rFonts w:hint="eastAsia"/>
        </w:rPr>
        <w:t>中国民航大学毕业设计（论文）开题报告</w:t>
      </w:r>
    </w:p>
    <w:tbl>
      <w:tblPr>
        <w:tblStyle w:val="6"/>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7"/>
        <w:gridCol w:w="1696"/>
        <w:gridCol w:w="1355"/>
        <w:gridCol w:w="2144"/>
        <w:gridCol w:w="1032"/>
        <w:gridCol w:w="1522"/>
      </w:tblGrid>
      <w:tr w14:paraId="651C2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367" w:type="dxa"/>
            <w:vAlign w:val="center"/>
          </w:tcPr>
          <w:p w14:paraId="14D3A2F7">
            <w:pPr>
              <w:spacing w:before="120" w:beforeLines="50" w:after="120" w:afterLines="50" w:line="400" w:lineRule="exact"/>
              <w:jc w:val="center"/>
              <w:rPr>
                <w:bCs/>
                <w:sz w:val="24"/>
              </w:rPr>
            </w:pPr>
            <w:r>
              <w:rPr>
                <w:bCs/>
                <w:sz w:val="24"/>
              </w:rPr>
              <w:t>姓  名</w:t>
            </w:r>
          </w:p>
        </w:tc>
        <w:tc>
          <w:tcPr>
            <w:tcW w:w="1696" w:type="dxa"/>
            <w:vAlign w:val="center"/>
          </w:tcPr>
          <w:p w14:paraId="161F87FE">
            <w:pPr>
              <w:spacing w:before="120" w:beforeLines="50" w:after="120" w:afterLines="50" w:line="400" w:lineRule="exact"/>
              <w:jc w:val="center"/>
              <w:rPr>
                <w:rFonts w:hint="eastAsia" w:eastAsia="宋体"/>
                <w:bCs/>
                <w:sz w:val="24"/>
                <w:lang w:val="en-US" w:eastAsia="zh-CN"/>
              </w:rPr>
            </w:pPr>
            <w:bookmarkStart w:id="0" w:name="_GoBack"/>
            <w:bookmarkEnd w:id="0"/>
          </w:p>
        </w:tc>
        <w:tc>
          <w:tcPr>
            <w:tcW w:w="1355" w:type="dxa"/>
            <w:vAlign w:val="center"/>
          </w:tcPr>
          <w:p w14:paraId="52B0DFD5">
            <w:pPr>
              <w:spacing w:before="120" w:beforeLines="50" w:after="120" w:afterLines="50" w:line="400" w:lineRule="exact"/>
              <w:jc w:val="center"/>
              <w:rPr>
                <w:bCs/>
                <w:sz w:val="24"/>
              </w:rPr>
            </w:pPr>
            <w:r>
              <w:rPr>
                <w:bCs/>
                <w:sz w:val="24"/>
              </w:rPr>
              <w:t>班  级</w:t>
            </w:r>
          </w:p>
        </w:tc>
        <w:tc>
          <w:tcPr>
            <w:tcW w:w="2144" w:type="dxa"/>
            <w:vAlign w:val="center"/>
          </w:tcPr>
          <w:p w14:paraId="6687CFEF">
            <w:pPr>
              <w:spacing w:before="120" w:beforeLines="50" w:after="120" w:afterLines="50" w:line="400" w:lineRule="exact"/>
              <w:jc w:val="center"/>
              <w:rPr>
                <w:bCs/>
                <w:sz w:val="24"/>
              </w:rPr>
            </w:pPr>
          </w:p>
        </w:tc>
        <w:tc>
          <w:tcPr>
            <w:tcW w:w="1032" w:type="dxa"/>
            <w:vAlign w:val="center"/>
          </w:tcPr>
          <w:p w14:paraId="0340F0B3">
            <w:pPr>
              <w:spacing w:before="120" w:beforeLines="50" w:after="120" w:afterLines="50" w:line="400" w:lineRule="exact"/>
              <w:jc w:val="center"/>
              <w:rPr>
                <w:b/>
                <w:sz w:val="24"/>
              </w:rPr>
            </w:pPr>
            <w:r>
              <w:rPr>
                <w:bCs/>
                <w:sz w:val="24"/>
              </w:rPr>
              <w:t>学  号</w:t>
            </w:r>
          </w:p>
        </w:tc>
        <w:tc>
          <w:tcPr>
            <w:tcW w:w="1522" w:type="dxa"/>
            <w:vAlign w:val="center"/>
          </w:tcPr>
          <w:p w14:paraId="6D5EB394">
            <w:pPr>
              <w:spacing w:before="120" w:beforeLines="50" w:after="120" w:afterLines="50" w:line="400" w:lineRule="exact"/>
              <w:jc w:val="center"/>
              <w:rPr>
                <w:bCs/>
                <w:sz w:val="24"/>
              </w:rPr>
            </w:pPr>
          </w:p>
        </w:tc>
      </w:tr>
      <w:tr w14:paraId="1E1C8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jc w:val="center"/>
        </w:trPr>
        <w:tc>
          <w:tcPr>
            <w:tcW w:w="1367" w:type="dxa"/>
            <w:vAlign w:val="center"/>
          </w:tcPr>
          <w:p w14:paraId="04740A6E">
            <w:pPr>
              <w:spacing w:before="120" w:beforeLines="50" w:after="120" w:afterLines="50" w:line="400" w:lineRule="exact"/>
              <w:jc w:val="center"/>
              <w:rPr>
                <w:bCs/>
                <w:sz w:val="24"/>
              </w:rPr>
            </w:pPr>
            <w:r>
              <w:rPr>
                <w:bCs/>
                <w:sz w:val="24"/>
              </w:rPr>
              <w:t>课题名称</w:t>
            </w:r>
          </w:p>
        </w:tc>
        <w:tc>
          <w:tcPr>
            <w:tcW w:w="5195" w:type="dxa"/>
            <w:gridSpan w:val="3"/>
            <w:vAlign w:val="center"/>
          </w:tcPr>
          <w:p w14:paraId="72C0D482">
            <w:pPr>
              <w:spacing w:before="120" w:beforeLines="50" w:after="120" w:afterLines="50" w:line="400" w:lineRule="exact"/>
              <w:rPr>
                <w:bCs/>
                <w:sz w:val="24"/>
              </w:rPr>
            </w:pPr>
          </w:p>
        </w:tc>
        <w:tc>
          <w:tcPr>
            <w:tcW w:w="1032" w:type="dxa"/>
            <w:vAlign w:val="center"/>
          </w:tcPr>
          <w:p w14:paraId="6AA5620E">
            <w:pPr>
              <w:spacing w:before="120" w:beforeLines="50" w:after="120" w:afterLines="50" w:line="400" w:lineRule="exact"/>
              <w:jc w:val="center"/>
              <w:rPr>
                <w:b/>
                <w:sz w:val="24"/>
              </w:rPr>
            </w:pPr>
            <w:r>
              <w:rPr>
                <w:bCs/>
                <w:sz w:val="24"/>
              </w:rPr>
              <w:t>指导教师</w:t>
            </w:r>
          </w:p>
        </w:tc>
        <w:tc>
          <w:tcPr>
            <w:tcW w:w="1522" w:type="dxa"/>
            <w:vAlign w:val="center"/>
          </w:tcPr>
          <w:p w14:paraId="65AFA367">
            <w:pPr>
              <w:spacing w:before="120" w:beforeLines="50" w:after="120" w:afterLines="50" w:line="400" w:lineRule="exact"/>
              <w:jc w:val="center"/>
              <w:rPr>
                <w:bCs/>
                <w:sz w:val="24"/>
              </w:rPr>
            </w:pPr>
          </w:p>
        </w:tc>
      </w:tr>
      <w:tr w14:paraId="3E9CA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7" w:hRule="atLeast"/>
          <w:jc w:val="center"/>
        </w:trPr>
        <w:tc>
          <w:tcPr>
            <w:tcW w:w="9116" w:type="dxa"/>
            <w:gridSpan w:val="6"/>
            <w:tcBorders>
              <w:bottom w:val="single" w:color="auto" w:sz="4" w:space="0"/>
            </w:tcBorders>
            <w:vAlign w:val="center"/>
          </w:tcPr>
          <w:p w14:paraId="480C4328">
            <w:pPr>
              <w:spacing w:line="400" w:lineRule="exact"/>
              <w:ind w:firstLine="480" w:firstLineChars="200"/>
              <w:rPr>
                <w:b/>
                <w:sz w:val="24"/>
              </w:rPr>
            </w:pPr>
            <w:r>
              <w:rPr>
                <w:bCs/>
                <w:sz w:val="24"/>
              </w:rPr>
              <w:t>一、课题的目的和意义</w:t>
            </w:r>
          </w:p>
          <w:p w14:paraId="19792110">
            <w:pPr>
              <w:widowControl/>
              <w:spacing w:line="400" w:lineRule="atLeast"/>
              <w:ind w:firstLine="480"/>
              <w:rPr>
                <w:rFonts w:hint="eastAsia"/>
                <w:bCs/>
                <w:kern w:val="0"/>
                <w:sz w:val="24"/>
              </w:rPr>
            </w:pPr>
            <w:r>
              <w:rPr>
                <w:rFonts w:hint="eastAsia"/>
                <w:bCs/>
                <w:kern w:val="0"/>
                <w:sz w:val="24"/>
              </w:rPr>
              <w:t>随着机器人行业的不断发展，越来越多的机器人走入各行各业，代替工人完成一些较为枯燥，重复，困难以及对人体存在危害的工作。而图像识别检测技术就像机器人的眼睛与视觉处理中枢，它不仅能捕捉面前的画面，同时能将画面中的特定物体用算法进行识别检测，得出其名称，轮廓等等信息并使用矩形框来完整框住整个物体，并显示在画面上，这就让机器人得以知道面前的物体的位置，以及其究竟是什么东西。</w:t>
            </w:r>
          </w:p>
          <w:p w14:paraId="323ADB6A">
            <w:pPr>
              <w:widowControl/>
              <w:spacing w:line="400" w:lineRule="atLeast"/>
              <w:ind w:firstLine="480"/>
              <w:rPr>
                <w:rFonts w:hint="eastAsia"/>
                <w:bCs/>
                <w:kern w:val="0"/>
                <w:sz w:val="24"/>
              </w:rPr>
            </w:pPr>
            <w:r>
              <w:rPr>
                <w:rFonts w:hint="eastAsia"/>
                <w:bCs/>
                <w:kern w:val="0"/>
                <w:sz w:val="24"/>
              </w:rPr>
              <w:t>飞机复合材料结构的概率损伤容限评估是保证结构安全性的先进技术手段。本文针对复合材料结构失效概率评估中存在的主要问题展开了研究。本文的主要内容包括：</w:t>
            </w:r>
          </w:p>
          <w:p w14:paraId="4FFF6AC1">
            <w:pPr>
              <w:widowControl/>
              <w:spacing w:line="400" w:lineRule="atLeast"/>
              <w:ind w:firstLine="480"/>
              <w:rPr>
                <w:rFonts w:hint="eastAsia"/>
                <w:bCs/>
                <w:kern w:val="0"/>
                <w:sz w:val="24"/>
              </w:rPr>
            </w:pPr>
            <w:r>
              <w:rPr>
                <w:rFonts w:hint="eastAsia"/>
                <w:bCs/>
                <w:kern w:val="0"/>
                <w:sz w:val="24"/>
              </w:rPr>
              <w:t>（1）对现有的半概率评估方法进行改进，将复合材料结构在给定冲击能量下的凹坑深度和损伤面积、结构的初始强度、温度和湿度看作具有一定的概率分布的随机变量，建立了新的飞机复合材料结构的失效概率评估方法，并开发了相应的分析软件。在只包含损伤统计数据的情况下，改变部分失效概率评估的流程，提出了基于损伤数据的失效概率评估方法。在失效概率评估的基础上，估算用于损伤容限验证的载荷水平因子。</w:t>
            </w:r>
          </w:p>
          <w:p w14:paraId="768213AE">
            <w:pPr>
              <w:widowControl/>
              <w:spacing w:line="400" w:lineRule="atLeast"/>
              <w:ind w:firstLine="480"/>
              <w:rPr>
                <w:rFonts w:hint="eastAsia"/>
                <w:bCs/>
                <w:kern w:val="0"/>
                <w:sz w:val="24"/>
              </w:rPr>
            </w:pPr>
            <w:r>
              <w:rPr>
                <w:rFonts w:hint="eastAsia"/>
                <w:bCs/>
                <w:kern w:val="0"/>
                <w:sz w:val="24"/>
              </w:rPr>
              <w:t>（2） 根据无损检测方法的数据类型，给出了带有信号值和不带信号值的检出概率评估方法，并分别采用累积对数正态模型和对数奇函数模型估算在95%的置信水平下损伤的检出概率，并开发了相应的评估软件。</w:t>
            </w:r>
          </w:p>
          <w:p w14:paraId="046C61AA">
            <w:pPr>
              <w:widowControl/>
              <w:spacing w:line="400" w:lineRule="atLeast"/>
              <w:ind w:firstLine="480"/>
              <w:rPr>
                <w:rFonts w:hint="eastAsia"/>
                <w:bCs/>
                <w:kern w:val="0"/>
                <w:sz w:val="24"/>
              </w:rPr>
            </w:pPr>
            <w:r>
              <w:rPr>
                <w:rFonts w:hint="eastAsia"/>
                <w:bCs/>
                <w:kern w:val="0"/>
                <w:sz w:val="24"/>
              </w:rPr>
              <w:t>（3）分别采用载荷叠加法和虚功原理，给出了对称铺层复合材料矩形薄板和厚板在四边固支，中心受集中载荷作用下的挠度的解析求解方法。</w:t>
            </w:r>
          </w:p>
          <w:p w14:paraId="5953481B">
            <w:pPr>
              <w:widowControl/>
              <w:spacing w:line="400" w:lineRule="atLeast"/>
              <w:ind w:firstLine="480"/>
              <w:rPr>
                <w:rFonts w:hint="eastAsia"/>
                <w:bCs/>
                <w:kern w:val="0"/>
                <w:sz w:val="24"/>
              </w:rPr>
            </w:pPr>
            <w:r>
              <w:rPr>
                <w:rFonts w:hint="eastAsia"/>
                <w:bCs/>
                <w:kern w:val="0"/>
                <w:sz w:val="24"/>
              </w:rPr>
              <w:t>（4） 定义了表征复合材料层合板分层起始的层间起裂剪切强度，并采用基于等效夹杂理论</w:t>
            </w:r>
          </w:p>
          <w:p w14:paraId="4FF45340">
            <w:pPr>
              <w:widowControl/>
              <w:spacing w:line="400" w:lineRule="atLeast"/>
              <w:ind w:firstLine="480"/>
              <w:rPr>
                <w:sz w:val="24"/>
              </w:rPr>
            </w:pPr>
            <w:r>
              <w:rPr>
                <w:rFonts w:ascii="宋体" w:hAnsi="宋体" w:eastAsia="宋体" w:cs="宋体"/>
                <w:sz w:val="24"/>
                <w:szCs w:val="24"/>
              </w:rPr>
              <w:drawing>
                <wp:inline distT="0" distB="0" distL="114300" distR="114300">
                  <wp:extent cx="5642610" cy="2788285"/>
                  <wp:effectExtent l="0" t="0" r="889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642610" cy="2788285"/>
                          </a:xfrm>
                          <a:prstGeom prst="rect">
                            <a:avLst/>
                          </a:prstGeom>
                          <a:noFill/>
                          <a:ln w="9525">
                            <a:noFill/>
                          </a:ln>
                        </pic:spPr>
                      </pic:pic>
                    </a:graphicData>
                  </a:graphic>
                </wp:inline>
              </w:drawing>
            </w:r>
          </w:p>
          <w:p w14:paraId="5BC33FE8">
            <w:pPr>
              <w:widowControl/>
              <w:spacing w:line="400" w:lineRule="atLeast"/>
              <w:ind w:firstLine="480"/>
              <w:rPr>
                <w:sz w:val="24"/>
              </w:rPr>
            </w:pPr>
          </w:p>
          <w:p w14:paraId="3FB284C7">
            <w:pPr>
              <w:jc w:val="center"/>
            </w:pPr>
            <w:r>
              <w:rPr>
                <w:rFonts w:hint="eastAsia"/>
              </w:rPr>
              <w:t>图1</w:t>
            </w:r>
            <w:r>
              <w:t>-1</w:t>
            </w:r>
          </w:p>
        </w:tc>
      </w:tr>
      <w:tr w14:paraId="46949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1" w:hRule="atLeast"/>
          <w:jc w:val="center"/>
        </w:trPr>
        <w:tc>
          <w:tcPr>
            <w:tcW w:w="9116" w:type="dxa"/>
            <w:gridSpan w:val="6"/>
            <w:tcBorders>
              <w:bottom w:val="single" w:color="auto" w:sz="4" w:space="0"/>
            </w:tcBorders>
            <w:vAlign w:val="center"/>
          </w:tcPr>
          <w:p w14:paraId="1B057B06">
            <w:pPr>
              <w:spacing w:line="400" w:lineRule="exact"/>
              <w:ind w:firstLine="480" w:firstLineChars="200"/>
              <w:rPr>
                <w:b/>
                <w:sz w:val="24"/>
              </w:rPr>
            </w:pPr>
            <w:r>
              <w:rPr>
                <w:bCs/>
                <w:sz w:val="24"/>
              </w:rPr>
              <w:t>二、课题的任务和要求</w:t>
            </w:r>
          </w:p>
          <w:p w14:paraId="3C4D5CE3">
            <w:pPr>
              <w:widowControl/>
              <w:spacing w:line="400" w:lineRule="atLeast"/>
              <w:ind w:firstLine="480"/>
              <w:rPr>
                <w:bCs/>
                <w:kern w:val="0"/>
                <w:sz w:val="24"/>
              </w:rPr>
            </w:pPr>
            <w:r>
              <w:rPr>
                <w:bCs/>
                <w:kern w:val="0"/>
                <w:sz w:val="24"/>
              </w:rPr>
              <w:t>1. 完成不少于3000字的英文文献翻译一篇；</w:t>
            </w:r>
          </w:p>
          <w:p w14:paraId="7EF143C8">
            <w:pPr>
              <w:widowControl/>
              <w:spacing w:line="400" w:lineRule="atLeast"/>
              <w:ind w:firstLine="480"/>
              <w:rPr>
                <w:bCs/>
                <w:kern w:val="0"/>
                <w:sz w:val="24"/>
              </w:rPr>
            </w:pPr>
            <w:r>
              <w:rPr>
                <w:bCs/>
                <w:kern w:val="0"/>
                <w:sz w:val="24"/>
              </w:rPr>
              <w:t>2. 论文字数不少于一万字；</w:t>
            </w:r>
          </w:p>
          <w:p w14:paraId="08C24F43">
            <w:pPr>
              <w:widowControl/>
              <w:spacing w:line="400" w:lineRule="atLeast"/>
              <w:ind w:firstLine="480"/>
              <w:rPr>
                <w:bCs/>
                <w:kern w:val="0"/>
                <w:sz w:val="24"/>
              </w:rPr>
            </w:pPr>
            <w:r>
              <w:rPr>
                <w:bCs/>
                <w:kern w:val="0"/>
                <w:sz w:val="24"/>
              </w:rPr>
              <w:t>3. 完成期限为1-16周；</w:t>
            </w:r>
          </w:p>
          <w:p w14:paraId="6F7DAE35">
            <w:pPr>
              <w:widowControl/>
              <w:spacing w:line="400" w:lineRule="atLeast"/>
              <w:ind w:firstLine="480"/>
              <w:rPr>
                <w:bCs/>
                <w:kern w:val="0"/>
                <w:sz w:val="24"/>
              </w:rPr>
            </w:pPr>
            <w:r>
              <w:rPr>
                <w:bCs/>
                <w:kern w:val="0"/>
                <w:sz w:val="24"/>
              </w:rPr>
              <w:t xml:space="preserve">4. </w:t>
            </w:r>
            <w:r>
              <w:rPr>
                <w:rFonts w:hint="eastAsia"/>
                <w:bCs/>
                <w:kern w:val="0"/>
                <w:sz w:val="24"/>
              </w:rPr>
              <w:t>构建智能机器人图像识别系统框架</w:t>
            </w:r>
          </w:p>
          <w:p w14:paraId="1A4E3D5B">
            <w:pPr>
              <w:spacing w:line="400" w:lineRule="exact"/>
              <w:rPr>
                <w:bCs/>
                <w:kern w:val="0"/>
                <w:sz w:val="24"/>
              </w:rPr>
            </w:pPr>
          </w:p>
        </w:tc>
      </w:tr>
      <w:tr w14:paraId="2CBDE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9116" w:type="dxa"/>
            <w:gridSpan w:val="6"/>
            <w:tcBorders>
              <w:bottom w:val="single" w:color="auto" w:sz="4" w:space="0"/>
            </w:tcBorders>
            <w:vAlign w:val="center"/>
          </w:tcPr>
          <w:p w14:paraId="4CDE9A8F">
            <w:pPr>
              <w:spacing w:line="400" w:lineRule="exact"/>
              <w:ind w:firstLine="480" w:firstLineChars="200"/>
              <w:rPr>
                <w:b/>
                <w:sz w:val="24"/>
              </w:rPr>
            </w:pPr>
            <w:r>
              <w:rPr>
                <w:bCs/>
                <w:sz w:val="24"/>
              </w:rPr>
              <w:t>三、主要设计思路</w:t>
            </w:r>
          </w:p>
          <w:p w14:paraId="2BDC78B1">
            <w:pPr>
              <w:widowControl/>
              <w:spacing w:line="400" w:lineRule="atLeast"/>
              <w:ind w:firstLine="480"/>
              <w:rPr>
                <w:rFonts w:hint="eastAsia"/>
                <w:bCs/>
                <w:kern w:val="0"/>
                <w:sz w:val="24"/>
              </w:rPr>
            </w:pPr>
            <w:r>
              <w:rPr>
                <w:rFonts w:hint="eastAsia"/>
                <w:bCs/>
                <w:kern w:val="0"/>
                <w:sz w:val="24"/>
              </w:rPr>
              <w:t>安全水平方法主要包括两个方面的内容，即评估已有结构的安全水平和基于安全水平的新结构设计。图1.3给出了安全水平方法估算的基本流程。</w:t>
            </w:r>
          </w:p>
          <w:p w14:paraId="7B6FB4A9">
            <w:pPr>
              <w:widowControl/>
              <w:spacing w:line="400" w:lineRule="atLeast"/>
              <w:ind w:firstLine="480"/>
              <w:rPr>
                <w:rFonts w:hint="eastAsia"/>
                <w:bCs/>
                <w:kern w:val="0"/>
                <w:sz w:val="24"/>
              </w:rPr>
            </w:pPr>
            <w:r>
              <w:rPr>
                <w:rFonts w:hint="eastAsia"/>
                <w:bCs/>
                <w:kern w:val="0"/>
                <w:sz w:val="24"/>
              </w:rPr>
              <w:t>对已有结构的安全水平的评估过程如下：</w:t>
            </w:r>
          </w:p>
          <w:p w14:paraId="0B42C059">
            <w:pPr>
              <w:widowControl/>
              <w:spacing w:line="400" w:lineRule="atLeast"/>
              <w:ind w:firstLine="480"/>
              <w:rPr>
                <w:rFonts w:hint="eastAsia"/>
                <w:bCs/>
                <w:kern w:val="0"/>
                <w:sz w:val="24"/>
              </w:rPr>
            </w:pPr>
            <w:r>
              <w:rPr>
                <w:rFonts w:hint="eastAsia"/>
                <w:bCs/>
                <w:kern w:val="0"/>
                <w:sz w:val="24"/>
              </w:rPr>
              <w:t>（1）收集已有结构的损伤数据，如损伤尺寸、类型、数量和检测方法；</w:t>
            </w:r>
          </w:p>
          <w:p w14:paraId="21B0ABF1">
            <w:pPr>
              <w:widowControl/>
              <w:spacing w:line="400" w:lineRule="atLeast"/>
              <w:ind w:firstLine="480"/>
              <w:rPr>
                <w:rFonts w:hint="eastAsia"/>
                <w:bCs/>
                <w:kern w:val="0"/>
                <w:sz w:val="24"/>
              </w:rPr>
            </w:pPr>
            <w:r>
              <w:rPr>
                <w:rFonts w:hint="eastAsia"/>
                <w:bCs/>
                <w:kern w:val="0"/>
                <w:sz w:val="24"/>
              </w:rPr>
              <w:t>（2） 根据统计数据，估算每种类型损伤的检出概率；</w:t>
            </w:r>
          </w:p>
          <w:p w14:paraId="40061243">
            <w:pPr>
              <w:widowControl/>
              <w:spacing w:line="400" w:lineRule="atLeast"/>
              <w:ind w:firstLine="480"/>
              <w:rPr>
                <w:rFonts w:hint="eastAsia"/>
                <w:bCs/>
                <w:kern w:val="0"/>
                <w:sz w:val="24"/>
              </w:rPr>
            </w:pPr>
            <w:r>
              <w:rPr>
                <w:rFonts w:hint="eastAsia"/>
                <w:bCs/>
                <w:kern w:val="0"/>
                <w:sz w:val="24"/>
              </w:rPr>
              <w:t>（3） 利用步骤（1）和（2）的数据以及结构的损伤尺寸与剩余强度的函没关系，确定现役飞机结构的安全水平。该值可以作为新结构设计所允许的安全水平。</w:t>
            </w:r>
          </w:p>
          <w:p w14:paraId="5B033606">
            <w:pPr>
              <w:widowControl/>
              <w:spacing w:line="400" w:lineRule="atLeast"/>
              <w:ind w:firstLine="480"/>
              <w:rPr>
                <w:rFonts w:hint="eastAsia"/>
                <w:bCs/>
                <w:kern w:val="0"/>
                <w:sz w:val="24"/>
              </w:rPr>
            </w:pPr>
            <w:r>
              <w:rPr>
                <w:rFonts w:hint="eastAsia"/>
                <w:bCs/>
                <w:kern w:val="0"/>
                <w:sz w:val="24"/>
              </w:rPr>
              <w:t>利用安全水平方法设计新结构的步骤如下：</w:t>
            </w:r>
          </w:p>
          <w:p w14:paraId="54BEE434">
            <w:pPr>
              <w:widowControl/>
              <w:spacing w:line="400" w:lineRule="atLeast"/>
              <w:ind w:firstLine="480"/>
              <w:rPr>
                <w:rFonts w:hint="eastAsia"/>
                <w:bCs/>
                <w:kern w:val="0"/>
                <w:sz w:val="24"/>
              </w:rPr>
            </w:pPr>
            <w:r>
              <w:rPr>
                <w:rFonts w:hint="eastAsia"/>
                <w:bCs/>
                <w:kern w:val="0"/>
                <w:sz w:val="24"/>
              </w:rPr>
              <w:t>（4） 对于新结构，分析确定剩余强度与损伤尺寸和结构尺寸之间的函数关系，特别是对剩余强度较为敏感的结构尺寸；</w:t>
            </w:r>
          </w:p>
          <w:p w14:paraId="0B829C96">
            <w:pPr>
              <w:widowControl/>
              <w:spacing w:line="400" w:lineRule="atLeast"/>
              <w:ind w:firstLine="480"/>
              <w:rPr>
                <w:bCs/>
                <w:kern w:val="0"/>
                <w:sz w:val="24"/>
              </w:rPr>
            </w:pPr>
            <w:r>
              <w:rPr>
                <w:rFonts w:hint="eastAsia"/>
                <w:bCs/>
                <w:kern w:val="0"/>
                <w:sz w:val="24"/>
              </w:rPr>
              <w:t>（5）根据已有的数据和工程实际应用，估算损伤的检出概率 Pp（a）和被检出损伤尺寸的概率</w:t>
            </w:r>
          </w:p>
        </w:tc>
      </w:tr>
      <w:tr w14:paraId="09260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8" w:hRule="atLeast"/>
          <w:jc w:val="center"/>
        </w:trPr>
        <w:tc>
          <w:tcPr>
            <w:tcW w:w="9116" w:type="dxa"/>
            <w:gridSpan w:val="6"/>
            <w:tcBorders>
              <w:bottom w:val="single" w:color="auto" w:sz="4" w:space="0"/>
            </w:tcBorders>
            <w:vAlign w:val="center"/>
          </w:tcPr>
          <w:p w14:paraId="0B48A64B">
            <w:pPr>
              <w:spacing w:line="400" w:lineRule="exact"/>
              <w:ind w:firstLine="480" w:firstLineChars="200"/>
              <w:rPr>
                <w:b/>
                <w:sz w:val="24"/>
              </w:rPr>
            </w:pPr>
            <w:r>
              <w:rPr>
                <w:bCs/>
                <w:sz w:val="24"/>
              </w:rPr>
              <w:t>四、</w:t>
            </w:r>
            <w:r>
              <w:rPr>
                <w:sz w:val="24"/>
              </w:rPr>
              <w:t>课题成果与形式（文本、实物、图纸、实验报告、设计说明书等）</w:t>
            </w:r>
          </w:p>
          <w:p w14:paraId="7D2049BC">
            <w:pPr>
              <w:widowControl/>
              <w:spacing w:line="400" w:lineRule="atLeast"/>
              <w:ind w:firstLine="480"/>
              <w:rPr>
                <w:bCs/>
                <w:kern w:val="0"/>
                <w:sz w:val="24"/>
              </w:rPr>
            </w:pPr>
            <w:r>
              <w:rPr>
                <w:bCs/>
                <w:kern w:val="0"/>
                <w:sz w:val="24"/>
              </w:rPr>
              <w:t>1.组装过程测试文档(测试说明书)；</w:t>
            </w:r>
          </w:p>
          <w:p w14:paraId="5AB99DDE">
            <w:pPr>
              <w:widowControl/>
              <w:spacing w:line="400" w:lineRule="atLeast"/>
              <w:ind w:firstLine="480"/>
              <w:rPr>
                <w:bCs/>
                <w:kern w:val="0"/>
                <w:sz w:val="24"/>
              </w:rPr>
            </w:pPr>
            <w:r>
              <w:rPr>
                <w:bCs/>
                <w:kern w:val="0"/>
                <w:sz w:val="24"/>
              </w:rPr>
              <w:t>2.硬件演示原理样机(实物)；</w:t>
            </w:r>
          </w:p>
          <w:p w14:paraId="1DEA2F22">
            <w:pPr>
              <w:widowControl/>
              <w:spacing w:line="400" w:lineRule="atLeast"/>
              <w:ind w:firstLine="480"/>
              <w:rPr>
                <w:bCs/>
                <w:kern w:val="0"/>
                <w:sz w:val="24"/>
              </w:rPr>
            </w:pPr>
            <w:r>
              <w:rPr>
                <w:bCs/>
                <w:kern w:val="0"/>
                <w:sz w:val="24"/>
              </w:rPr>
              <w:t>3.软件算法测试验证程序(代码)；</w:t>
            </w:r>
          </w:p>
          <w:p w14:paraId="3C1EEAE4">
            <w:pPr>
              <w:spacing w:line="400" w:lineRule="exact"/>
              <w:ind w:firstLine="480" w:firstLineChars="200"/>
              <w:rPr>
                <w:color w:val="FF0000"/>
                <w:sz w:val="24"/>
              </w:rPr>
            </w:pPr>
            <w:r>
              <w:rPr>
                <w:bCs/>
                <w:kern w:val="0"/>
                <w:sz w:val="24"/>
              </w:rPr>
              <w:t>4.毕业设计论文。</w:t>
            </w:r>
          </w:p>
        </w:tc>
      </w:tr>
    </w:tbl>
    <w:p w14:paraId="12CF04CD">
      <w:pPr>
        <w:spacing w:line="360" w:lineRule="auto"/>
        <w:rPr>
          <w:bCs/>
        </w:rPr>
        <w:sectPr>
          <w:pgSz w:w="11906" w:h="16838"/>
          <w:pgMar w:top="1418" w:right="1418" w:bottom="1418" w:left="1701" w:header="851" w:footer="992" w:gutter="0"/>
          <w:pgNumType w:start="1"/>
          <w:cols w:space="720" w:num="1"/>
          <w:docGrid w:linePitch="312" w:charSpace="884"/>
        </w:sectPr>
      </w:pPr>
    </w:p>
    <w:p w14:paraId="4C97A663">
      <w:pPr>
        <w:pStyle w:val="10"/>
      </w:pPr>
      <w:r>
        <w:rPr>
          <w:rFonts w:hint="eastAsia"/>
        </w:rPr>
        <w:t>毕 业 设 计</w:t>
      </w:r>
      <w:r>
        <w:t>（论</w:t>
      </w:r>
      <w:r>
        <w:rPr>
          <w:rFonts w:hint="eastAsia"/>
        </w:rPr>
        <w:t xml:space="preserve"> </w:t>
      </w:r>
      <w:r>
        <w:t>文）</w:t>
      </w:r>
      <w:r>
        <w:rPr>
          <w:rFonts w:hint="eastAsia"/>
        </w:rPr>
        <w:t>进 度 安 排 表</w:t>
      </w:r>
    </w:p>
    <w:tbl>
      <w:tblPr>
        <w:tblStyle w:val="6"/>
        <w:tblW w:w="83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2"/>
        <w:gridCol w:w="6974"/>
      </w:tblGrid>
      <w:tr w14:paraId="3C13E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2" w:type="dxa"/>
            <w:vAlign w:val="center"/>
          </w:tcPr>
          <w:p w14:paraId="70D6F82E">
            <w:pPr>
              <w:jc w:val="center"/>
              <w:rPr>
                <w:sz w:val="24"/>
                <w:szCs w:val="21"/>
              </w:rPr>
            </w:pPr>
            <w:r>
              <w:rPr>
                <w:rFonts w:hAnsi="宋体"/>
                <w:sz w:val="24"/>
                <w:szCs w:val="21"/>
              </w:rPr>
              <w:t>时</w:t>
            </w:r>
            <w:r>
              <w:rPr>
                <w:sz w:val="24"/>
                <w:szCs w:val="21"/>
              </w:rPr>
              <w:t xml:space="preserve">  </w:t>
            </w:r>
            <w:r>
              <w:rPr>
                <w:rFonts w:hAnsi="宋体"/>
                <w:sz w:val="24"/>
                <w:szCs w:val="21"/>
              </w:rPr>
              <w:t>间</w:t>
            </w:r>
          </w:p>
        </w:tc>
        <w:tc>
          <w:tcPr>
            <w:tcW w:w="6974" w:type="dxa"/>
            <w:vAlign w:val="center"/>
          </w:tcPr>
          <w:p w14:paraId="01FC0336">
            <w:pPr>
              <w:jc w:val="center"/>
              <w:rPr>
                <w:sz w:val="24"/>
                <w:szCs w:val="21"/>
              </w:rPr>
            </w:pPr>
            <w:r>
              <w:rPr>
                <w:rFonts w:hAnsi="宋体"/>
                <w:sz w:val="24"/>
                <w:szCs w:val="21"/>
              </w:rPr>
              <w:t>计</w:t>
            </w:r>
            <w:r>
              <w:rPr>
                <w:sz w:val="24"/>
                <w:szCs w:val="21"/>
              </w:rPr>
              <w:t xml:space="preserve">  </w:t>
            </w:r>
            <w:r>
              <w:rPr>
                <w:rFonts w:hAnsi="宋体"/>
                <w:sz w:val="24"/>
                <w:szCs w:val="21"/>
              </w:rPr>
              <w:t>划</w:t>
            </w:r>
            <w:r>
              <w:rPr>
                <w:sz w:val="24"/>
                <w:szCs w:val="21"/>
              </w:rPr>
              <w:t xml:space="preserve">  </w:t>
            </w:r>
            <w:r>
              <w:rPr>
                <w:rFonts w:hAnsi="宋体"/>
                <w:sz w:val="24"/>
                <w:szCs w:val="21"/>
              </w:rPr>
              <w:t>完</w:t>
            </w:r>
            <w:r>
              <w:rPr>
                <w:sz w:val="24"/>
                <w:szCs w:val="21"/>
              </w:rPr>
              <w:t xml:space="preserve">  </w:t>
            </w:r>
            <w:r>
              <w:rPr>
                <w:rFonts w:hAnsi="宋体"/>
                <w:sz w:val="24"/>
                <w:szCs w:val="21"/>
              </w:rPr>
              <w:t>成</w:t>
            </w:r>
            <w:r>
              <w:rPr>
                <w:sz w:val="24"/>
                <w:szCs w:val="21"/>
              </w:rPr>
              <w:t xml:space="preserve">  </w:t>
            </w:r>
            <w:r>
              <w:rPr>
                <w:rFonts w:hAnsi="宋体"/>
                <w:sz w:val="24"/>
                <w:szCs w:val="21"/>
              </w:rPr>
              <w:t>内</w:t>
            </w:r>
            <w:r>
              <w:rPr>
                <w:sz w:val="24"/>
                <w:szCs w:val="21"/>
              </w:rPr>
              <w:t xml:space="preserve">  </w:t>
            </w:r>
            <w:r>
              <w:rPr>
                <w:rFonts w:hAnsi="宋体"/>
                <w:sz w:val="24"/>
                <w:szCs w:val="21"/>
              </w:rPr>
              <w:t>容</w:t>
            </w:r>
          </w:p>
        </w:tc>
      </w:tr>
      <w:tr w14:paraId="57956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2" w:type="dxa"/>
            <w:vAlign w:val="center"/>
          </w:tcPr>
          <w:p w14:paraId="621A814A">
            <w:pPr>
              <w:jc w:val="center"/>
              <w:rPr>
                <w:sz w:val="24"/>
                <w:szCs w:val="21"/>
              </w:rPr>
            </w:pPr>
            <w:r>
              <w:rPr>
                <w:rFonts w:hAnsi="宋体"/>
                <w:sz w:val="24"/>
                <w:szCs w:val="21"/>
              </w:rPr>
              <w:t>第</w:t>
            </w:r>
            <w:r>
              <w:rPr>
                <w:sz w:val="24"/>
                <w:szCs w:val="21"/>
              </w:rPr>
              <w:t>1</w:t>
            </w:r>
            <w:r>
              <w:rPr>
                <w:rFonts w:hAnsi="宋体"/>
                <w:sz w:val="24"/>
                <w:szCs w:val="21"/>
              </w:rPr>
              <w:t>周</w:t>
            </w:r>
          </w:p>
        </w:tc>
        <w:tc>
          <w:tcPr>
            <w:tcW w:w="6974" w:type="dxa"/>
            <w:vAlign w:val="center"/>
          </w:tcPr>
          <w:p w14:paraId="2DDECE19">
            <w:pPr>
              <w:snapToGrid w:val="0"/>
              <w:jc w:val="center"/>
              <w:rPr>
                <w:sz w:val="24"/>
                <w:szCs w:val="21"/>
              </w:rPr>
            </w:pPr>
            <w:r>
              <w:rPr>
                <w:rFonts w:hint="eastAsia"/>
                <w:sz w:val="24"/>
                <w:szCs w:val="21"/>
              </w:rPr>
              <w:t>查阅中文文献</w:t>
            </w:r>
          </w:p>
        </w:tc>
      </w:tr>
      <w:tr w14:paraId="44C3E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2" w:type="dxa"/>
            <w:vAlign w:val="center"/>
          </w:tcPr>
          <w:p w14:paraId="190CB995">
            <w:pPr>
              <w:jc w:val="center"/>
              <w:rPr>
                <w:sz w:val="24"/>
                <w:szCs w:val="21"/>
              </w:rPr>
            </w:pPr>
            <w:r>
              <w:rPr>
                <w:rFonts w:hAnsi="宋体"/>
                <w:sz w:val="24"/>
                <w:szCs w:val="21"/>
              </w:rPr>
              <w:t>第</w:t>
            </w:r>
            <w:r>
              <w:rPr>
                <w:sz w:val="24"/>
                <w:szCs w:val="21"/>
              </w:rPr>
              <w:t>2</w:t>
            </w:r>
            <w:r>
              <w:rPr>
                <w:rFonts w:hAnsi="宋体"/>
                <w:sz w:val="24"/>
                <w:szCs w:val="21"/>
              </w:rPr>
              <w:t>周</w:t>
            </w:r>
          </w:p>
        </w:tc>
        <w:tc>
          <w:tcPr>
            <w:tcW w:w="6974" w:type="dxa"/>
            <w:vAlign w:val="center"/>
          </w:tcPr>
          <w:p w14:paraId="1838593B">
            <w:pPr>
              <w:snapToGrid w:val="0"/>
              <w:jc w:val="center"/>
              <w:rPr>
                <w:sz w:val="24"/>
                <w:szCs w:val="21"/>
              </w:rPr>
            </w:pPr>
            <w:r>
              <w:rPr>
                <w:rFonts w:hint="eastAsia" w:ascii="宋体" w:hAnsi="宋体"/>
                <w:sz w:val="24"/>
                <w:szCs w:val="21"/>
              </w:rPr>
              <w:t>查阅相关外文文献并按规定字数完成翻译工作；完成文献综述</w:t>
            </w:r>
          </w:p>
        </w:tc>
      </w:tr>
      <w:tr w14:paraId="53818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362" w:type="dxa"/>
            <w:vAlign w:val="center"/>
          </w:tcPr>
          <w:p w14:paraId="2A7193CF">
            <w:pPr>
              <w:jc w:val="center"/>
              <w:rPr>
                <w:sz w:val="24"/>
                <w:szCs w:val="21"/>
              </w:rPr>
            </w:pPr>
            <w:r>
              <w:rPr>
                <w:rFonts w:hAnsi="宋体"/>
                <w:sz w:val="24"/>
                <w:szCs w:val="21"/>
              </w:rPr>
              <w:t>第</w:t>
            </w:r>
            <w:r>
              <w:rPr>
                <w:sz w:val="24"/>
                <w:szCs w:val="21"/>
              </w:rPr>
              <w:t>3</w:t>
            </w:r>
            <w:r>
              <w:rPr>
                <w:rFonts w:hAnsi="宋体"/>
                <w:sz w:val="24"/>
                <w:szCs w:val="21"/>
              </w:rPr>
              <w:t>周</w:t>
            </w:r>
          </w:p>
        </w:tc>
        <w:tc>
          <w:tcPr>
            <w:tcW w:w="6974" w:type="dxa"/>
            <w:vAlign w:val="center"/>
          </w:tcPr>
          <w:p w14:paraId="62403015">
            <w:pPr>
              <w:snapToGrid w:val="0"/>
              <w:jc w:val="center"/>
              <w:rPr>
                <w:sz w:val="24"/>
                <w:szCs w:val="21"/>
              </w:rPr>
            </w:pPr>
            <w:r>
              <w:rPr>
                <w:rFonts w:hint="eastAsia" w:ascii="宋体" w:hAnsi="宋体"/>
                <w:sz w:val="24"/>
                <w:szCs w:val="21"/>
              </w:rPr>
              <w:t>撰写开题报告，编撰论文进度安排表</w:t>
            </w:r>
          </w:p>
        </w:tc>
      </w:tr>
      <w:tr w14:paraId="53250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362" w:type="dxa"/>
            <w:vAlign w:val="center"/>
          </w:tcPr>
          <w:p w14:paraId="2ADFBAC3">
            <w:pPr>
              <w:jc w:val="center"/>
              <w:rPr>
                <w:sz w:val="24"/>
                <w:szCs w:val="21"/>
              </w:rPr>
            </w:pPr>
            <w:r>
              <w:rPr>
                <w:rFonts w:hAnsi="宋体"/>
                <w:sz w:val="24"/>
                <w:szCs w:val="21"/>
              </w:rPr>
              <w:t>第</w:t>
            </w:r>
            <w:r>
              <w:rPr>
                <w:sz w:val="24"/>
                <w:szCs w:val="21"/>
              </w:rPr>
              <w:t>4</w:t>
            </w:r>
            <w:r>
              <w:rPr>
                <w:rFonts w:hAnsi="宋体"/>
                <w:sz w:val="24"/>
                <w:szCs w:val="21"/>
              </w:rPr>
              <w:t>周</w:t>
            </w:r>
          </w:p>
        </w:tc>
        <w:tc>
          <w:tcPr>
            <w:tcW w:w="6974" w:type="dxa"/>
            <w:vAlign w:val="center"/>
          </w:tcPr>
          <w:p w14:paraId="640C9E62">
            <w:pPr>
              <w:snapToGrid w:val="0"/>
              <w:jc w:val="center"/>
              <w:rPr>
                <w:sz w:val="24"/>
                <w:szCs w:val="21"/>
              </w:rPr>
            </w:pPr>
            <w:r>
              <w:rPr>
                <w:rFonts w:hint="eastAsia"/>
                <w:sz w:val="24"/>
                <w:szCs w:val="21"/>
              </w:rPr>
              <w:t>组装所需树莓派平台</w:t>
            </w:r>
          </w:p>
        </w:tc>
      </w:tr>
      <w:tr w14:paraId="74E21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362" w:type="dxa"/>
            <w:vAlign w:val="center"/>
          </w:tcPr>
          <w:p w14:paraId="4E0D90AD">
            <w:pPr>
              <w:jc w:val="center"/>
              <w:rPr>
                <w:sz w:val="24"/>
                <w:szCs w:val="21"/>
              </w:rPr>
            </w:pPr>
            <w:r>
              <w:rPr>
                <w:rFonts w:hAnsi="宋体"/>
                <w:sz w:val="24"/>
                <w:szCs w:val="21"/>
              </w:rPr>
              <w:t>第</w:t>
            </w:r>
            <w:r>
              <w:rPr>
                <w:sz w:val="24"/>
                <w:szCs w:val="21"/>
              </w:rPr>
              <w:t>5</w:t>
            </w:r>
            <w:r>
              <w:rPr>
                <w:rFonts w:hAnsi="宋体"/>
                <w:sz w:val="24"/>
                <w:szCs w:val="21"/>
              </w:rPr>
              <w:t>周</w:t>
            </w:r>
          </w:p>
        </w:tc>
        <w:tc>
          <w:tcPr>
            <w:tcW w:w="6974" w:type="dxa"/>
            <w:vAlign w:val="center"/>
          </w:tcPr>
          <w:p w14:paraId="797411F7">
            <w:pPr>
              <w:snapToGrid w:val="0"/>
              <w:jc w:val="center"/>
              <w:rPr>
                <w:sz w:val="24"/>
                <w:szCs w:val="21"/>
              </w:rPr>
            </w:pPr>
            <w:r>
              <w:rPr>
                <w:rFonts w:hint="eastAsia"/>
                <w:sz w:val="24"/>
                <w:szCs w:val="21"/>
              </w:rPr>
              <w:t>结合程序测试模块功能，如摄像头采集图像质量</w:t>
            </w:r>
          </w:p>
        </w:tc>
      </w:tr>
      <w:tr w14:paraId="77EFE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362" w:type="dxa"/>
            <w:vAlign w:val="center"/>
          </w:tcPr>
          <w:p w14:paraId="20B63E07">
            <w:pPr>
              <w:jc w:val="center"/>
              <w:rPr>
                <w:sz w:val="24"/>
                <w:szCs w:val="21"/>
              </w:rPr>
            </w:pPr>
            <w:r>
              <w:rPr>
                <w:rFonts w:hAnsi="宋体"/>
                <w:sz w:val="24"/>
                <w:szCs w:val="21"/>
              </w:rPr>
              <w:t>第</w:t>
            </w:r>
            <w:r>
              <w:rPr>
                <w:sz w:val="24"/>
                <w:szCs w:val="21"/>
              </w:rPr>
              <w:t>6</w:t>
            </w:r>
            <w:r>
              <w:rPr>
                <w:rFonts w:hAnsi="宋体"/>
                <w:sz w:val="24"/>
                <w:szCs w:val="21"/>
              </w:rPr>
              <w:t>周</w:t>
            </w:r>
          </w:p>
        </w:tc>
        <w:tc>
          <w:tcPr>
            <w:tcW w:w="6974" w:type="dxa"/>
            <w:vAlign w:val="center"/>
          </w:tcPr>
          <w:p w14:paraId="0A765036">
            <w:pPr>
              <w:snapToGrid w:val="0"/>
              <w:jc w:val="center"/>
              <w:rPr>
                <w:sz w:val="24"/>
                <w:szCs w:val="21"/>
              </w:rPr>
            </w:pPr>
            <w:r>
              <w:rPr>
                <w:rFonts w:hint="eastAsia"/>
                <w:sz w:val="24"/>
                <w:szCs w:val="21"/>
              </w:rPr>
              <w:t>建立图像检测框架的软硬件系统平台</w:t>
            </w:r>
          </w:p>
        </w:tc>
      </w:tr>
      <w:tr w14:paraId="01A4C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2" w:type="dxa"/>
            <w:vAlign w:val="center"/>
          </w:tcPr>
          <w:p w14:paraId="4A8678EE">
            <w:pPr>
              <w:jc w:val="center"/>
              <w:rPr>
                <w:sz w:val="24"/>
                <w:szCs w:val="21"/>
              </w:rPr>
            </w:pPr>
            <w:r>
              <w:rPr>
                <w:rFonts w:hAnsi="宋体"/>
                <w:sz w:val="24"/>
                <w:szCs w:val="21"/>
              </w:rPr>
              <w:t>第</w:t>
            </w:r>
            <w:r>
              <w:rPr>
                <w:sz w:val="24"/>
                <w:szCs w:val="21"/>
              </w:rPr>
              <w:t>7</w:t>
            </w:r>
            <w:r>
              <w:rPr>
                <w:rFonts w:hAnsi="宋体"/>
                <w:sz w:val="24"/>
                <w:szCs w:val="21"/>
              </w:rPr>
              <w:t>周</w:t>
            </w:r>
          </w:p>
        </w:tc>
        <w:tc>
          <w:tcPr>
            <w:tcW w:w="6974" w:type="dxa"/>
            <w:vAlign w:val="center"/>
          </w:tcPr>
          <w:p w14:paraId="23DA1D5A">
            <w:pPr>
              <w:snapToGrid w:val="0"/>
              <w:jc w:val="center"/>
              <w:rPr>
                <w:sz w:val="24"/>
                <w:szCs w:val="21"/>
              </w:rPr>
            </w:pPr>
            <w:r>
              <w:rPr>
                <w:rFonts w:hint="eastAsia"/>
                <w:sz w:val="24"/>
                <w:szCs w:val="21"/>
              </w:rPr>
              <w:t>制作符合要求的样本</w:t>
            </w:r>
          </w:p>
        </w:tc>
      </w:tr>
      <w:tr w14:paraId="6BB43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2" w:type="dxa"/>
            <w:vAlign w:val="center"/>
          </w:tcPr>
          <w:p w14:paraId="294668CD">
            <w:pPr>
              <w:jc w:val="center"/>
              <w:rPr>
                <w:sz w:val="24"/>
                <w:szCs w:val="21"/>
              </w:rPr>
            </w:pPr>
            <w:r>
              <w:rPr>
                <w:rFonts w:hAnsi="宋体"/>
                <w:sz w:val="24"/>
                <w:szCs w:val="21"/>
              </w:rPr>
              <w:t>第</w:t>
            </w:r>
            <w:r>
              <w:rPr>
                <w:sz w:val="24"/>
                <w:szCs w:val="21"/>
              </w:rPr>
              <w:t>8</w:t>
            </w:r>
            <w:r>
              <w:rPr>
                <w:rFonts w:hAnsi="宋体"/>
                <w:sz w:val="24"/>
                <w:szCs w:val="21"/>
              </w:rPr>
              <w:t>周</w:t>
            </w:r>
          </w:p>
        </w:tc>
        <w:tc>
          <w:tcPr>
            <w:tcW w:w="6974" w:type="dxa"/>
            <w:vAlign w:val="center"/>
          </w:tcPr>
          <w:p w14:paraId="0D2F53F3">
            <w:pPr>
              <w:snapToGrid w:val="0"/>
              <w:jc w:val="center"/>
              <w:rPr>
                <w:sz w:val="24"/>
                <w:szCs w:val="21"/>
              </w:rPr>
            </w:pPr>
            <w:r>
              <w:rPr>
                <w:rFonts w:hint="eastAsia"/>
                <w:sz w:val="24"/>
                <w:szCs w:val="21"/>
              </w:rPr>
              <w:t>制作样本的数据集</w:t>
            </w:r>
          </w:p>
        </w:tc>
      </w:tr>
      <w:tr w14:paraId="6A2F3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2" w:type="dxa"/>
            <w:vAlign w:val="center"/>
          </w:tcPr>
          <w:p w14:paraId="7BB79920">
            <w:pPr>
              <w:jc w:val="center"/>
              <w:rPr>
                <w:sz w:val="24"/>
                <w:szCs w:val="21"/>
              </w:rPr>
            </w:pPr>
            <w:r>
              <w:rPr>
                <w:rFonts w:hAnsi="宋体"/>
                <w:sz w:val="24"/>
                <w:szCs w:val="21"/>
              </w:rPr>
              <w:t>第</w:t>
            </w:r>
            <w:r>
              <w:rPr>
                <w:sz w:val="24"/>
                <w:szCs w:val="21"/>
              </w:rPr>
              <w:t>9</w:t>
            </w:r>
            <w:r>
              <w:rPr>
                <w:rFonts w:hAnsi="宋体"/>
                <w:sz w:val="24"/>
                <w:szCs w:val="21"/>
              </w:rPr>
              <w:t>周</w:t>
            </w:r>
          </w:p>
        </w:tc>
        <w:tc>
          <w:tcPr>
            <w:tcW w:w="6974" w:type="dxa"/>
            <w:vAlign w:val="center"/>
          </w:tcPr>
          <w:p w14:paraId="4D7A5C2E">
            <w:pPr>
              <w:tabs>
                <w:tab w:val="center" w:pos="3439"/>
                <w:tab w:val="left" w:pos="5518"/>
              </w:tabs>
              <w:snapToGrid w:val="0"/>
              <w:jc w:val="center"/>
              <w:rPr>
                <w:sz w:val="24"/>
                <w:szCs w:val="21"/>
              </w:rPr>
            </w:pPr>
            <w:r>
              <w:rPr>
                <w:rFonts w:hint="eastAsia"/>
                <w:sz w:val="24"/>
                <w:szCs w:val="21"/>
              </w:rPr>
              <w:t>树莓派各种图像检测算法环境配置与部署</w:t>
            </w:r>
          </w:p>
        </w:tc>
      </w:tr>
      <w:tr w14:paraId="6B0AC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2" w:type="dxa"/>
            <w:vAlign w:val="center"/>
          </w:tcPr>
          <w:p w14:paraId="318851FA">
            <w:pPr>
              <w:jc w:val="center"/>
              <w:rPr>
                <w:sz w:val="24"/>
                <w:szCs w:val="21"/>
              </w:rPr>
            </w:pPr>
            <w:r>
              <w:rPr>
                <w:rFonts w:hAnsi="宋体"/>
                <w:sz w:val="24"/>
                <w:szCs w:val="21"/>
              </w:rPr>
              <w:t>第</w:t>
            </w:r>
            <w:r>
              <w:rPr>
                <w:sz w:val="24"/>
                <w:szCs w:val="21"/>
              </w:rPr>
              <w:t>10</w:t>
            </w:r>
            <w:r>
              <w:rPr>
                <w:rFonts w:hAnsi="宋体"/>
                <w:sz w:val="24"/>
                <w:szCs w:val="21"/>
              </w:rPr>
              <w:t>周</w:t>
            </w:r>
          </w:p>
        </w:tc>
        <w:tc>
          <w:tcPr>
            <w:tcW w:w="6974" w:type="dxa"/>
            <w:vAlign w:val="center"/>
          </w:tcPr>
          <w:p w14:paraId="55BDBD0F">
            <w:pPr>
              <w:snapToGrid w:val="0"/>
              <w:jc w:val="center"/>
              <w:rPr>
                <w:sz w:val="24"/>
                <w:szCs w:val="21"/>
              </w:rPr>
            </w:pPr>
            <w:r>
              <w:rPr>
                <w:rFonts w:hint="eastAsia"/>
                <w:sz w:val="24"/>
                <w:szCs w:val="21"/>
              </w:rPr>
              <w:t>使用数据集训练A</w:t>
            </w:r>
            <w:r>
              <w:rPr>
                <w:sz w:val="24"/>
                <w:szCs w:val="21"/>
              </w:rPr>
              <w:t>I</w:t>
            </w:r>
          </w:p>
        </w:tc>
      </w:tr>
      <w:tr w14:paraId="24274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2" w:type="dxa"/>
            <w:vAlign w:val="center"/>
          </w:tcPr>
          <w:p w14:paraId="18B7EC71">
            <w:pPr>
              <w:jc w:val="center"/>
              <w:rPr>
                <w:sz w:val="24"/>
                <w:szCs w:val="21"/>
              </w:rPr>
            </w:pPr>
            <w:r>
              <w:rPr>
                <w:rFonts w:hAnsi="宋体"/>
                <w:sz w:val="24"/>
                <w:szCs w:val="21"/>
              </w:rPr>
              <w:t>第</w:t>
            </w:r>
            <w:r>
              <w:rPr>
                <w:sz w:val="24"/>
                <w:szCs w:val="21"/>
              </w:rPr>
              <w:t>11</w:t>
            </w:r>
            <w:r>
              <w:rPr>
                <w:rFonts w:hAnsi="宋体"/>
                <w:sz w:val="24"/>
                <w:szCs w:val="21"/>
              </w:rPr>
              <w:t>周</w:t>
            </w:r>
          </w:p>
        </w:tc>
        <w:tc>
          <w:tcPr>
            <w:tcW w:w="6974" w:type="dxa"/>
            <w:vAlign w:val="center"/>
          </w:tcPr>
          <w:p w14:paraId="62F6765A">
            <w:pPr>
              <w:snapToGrid w:val="0"/>
              <w:jc w:val="center"/>
              <w:rPr>
                <w:sz w:val="24"/>
                <w:szCs w:val="21"/>
              </w:rPr>
            </w:pPr>
            <w:r>
              <w:rPr>
                <w:rFonts w:hint="eastAsia"/>
                <w:sz w:val="24"/>
                <w:szCs w:val="21"/>
              </w:rPr>
              <w:t>进行各图像检测算法的识别工作</w:t>
            </w:r>
          </w:p>
        </w:tc>
      </w:tr>
      <w:tr w14:paraId="03AB5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2" w:type="dxa"/>
            <w:vAlign w:val="center"/>
          </w:tcPr>
          <w:p w14:paraId="123EF91B">
            <w:pPr>
              <w:jc w:val="center"/>
              <w:rPr>
                <w:sz w:val="24"/>
                <w:szCs w:val="21"/>
              </w:rPr>
            </w:pPr>
            <w:r>
              <w:rPr>
                <w:rFonts w:hAnsi="宋体"/>
                <w:sz w:val="24"/>
                <w:szCs w:val="21"/>
              </w:rPr>
              <w:t>第</w:t>
            </w:r>
            <w:r>
              <w:rPr>
                <w:sz w:val="24"/>
                <w:szCs w:val="21"/>
              </w:rPr>
              <w:t>12</w:t>
            </w:r>
            <w:r>
              <w:rPr>
                <w:rFonts w:hAnsi="宋体"/>
                <w:sz w:val="24"/>
                <w:szCs w:val="21"/>
              </w:rPr>
              <w:t>周</w:t>
            </w:r>
          </w:p>
        </w:tc>
        <w:tc>
          <w:tcPr>
            <w:tcW w:w="6974" w:type="dxa"/>
            <w:vAlign w:val="center"/>
          </w:tcPr>
          <w:p w14:paraId="14E72CB8">
            <w:pPr>
              <w:snapToGrid w:val="0"/>
              <w:jc w:val="center"/>
              <w:rPr>
                <w:sz w:val="24"/>
                <w:szCs w:val="21"/>
              </w:rPr>
            </w:pPr>
            <w:r>
              <w:rPr>
                <w:rFonts w:hint="eastAsia"/>
                <w:sz w:val="24"/>
                <w:szCs w:val="21"/>
              </w:rPr>
              <w:t>比较不同算法识别效果</w:t>
            </w:r>
          </w:p>
        </w:tc>
      </w:tr>
      <w:tr w14:paraId="1F4A6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2" w:type="dxa"/>
            <w:vAlign w:val="center"/>
          </w:tcPr>
          <w:p w14:paraId="5EA5B83B">
            <w:pPr>
              <w:jc w:val="center"/>
              <w:rPr>
                <w:sz w:val="24"/>
                <w:szCs w:val="21"/>
              </w:rPr>
            </w:pPr>
            <w:r>
              <w:rPr>
                <w:rFonts w:hAnsi="宋体"/>
                <w:sz w:val="24"/>
                <w:szCs w:val="21"/>
              </w:rPr>
              <w:t>第</w:t>
            </w:r>
            <w:r>
              <w:rPr>
                <w:sz w:val="24"/>
                <w:szCs w:val="21"/>
              </w:rPr>
              <w:t>13</w:t>
            </w:r>
            <w:r>
              <w:rPr>
                <w:rFonts w:hAnsi="宋体"/>
                <w:sz w:val="24"/>
                <w:szCs w:val="21"/>
              </w:rPr>
              <w:t>周</w:t>
            </w:r>
          </w:p>
        </w:tc>
        <w:tc>
          <w:tcPr>
            <w:tcW w:w="6974" w:type="dxa"/>
            <w:vAlign w:val="center"/>
          </w:tcPr>
          <w:p w14:paraId="1699A48D">
            <w:pPr>
              <w:snapToGrid w:val="0"/>
              <w:jc w:val="center"/>
              <w:rPr>
                <w:sz w:val="24"/>
                <w:szCs w:val="21"/>
              </w:rPr>
            </w:pPr>
            <w:r>
              <w:rPr>
                <w:rFonts w:hint="eastAsia" w:ascii="宋体" w:hAnsi="宋体"/>
                <w:sz w:val="24"/>
                <w:szCs w:val="21"/>
              </w:rPr>
              <w:t>完成联合调试，撰写毕业论文</w:t>
            </w:r>
          </w:p>
        </w:tc>
      </w:tr>
      <w:tr w14:paraId="225AC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362" w:type="dxa"/>
            <w:vAlign w:val="center"/>
          </w:tcPr>
          <w:p w14:paraId="0412930A">
            <w:pPr>
              <w:jc w:val="center"/>
              <w:rPr>
                <w:sz w:val="24"/>
                <w:szCs w:val="21"/>
              </w:rPr>
            </w:pPr>
            <w:r>
              <w:rPr>
                <w:rFonts w:hAnsi="宋体"/>
                <w:sz w:val="24"/>
                <w:szCs w:val="21"/>
              </w:rPr>
              <w:t>第</w:t>
            </w:r>
            <w:r>
              <w:rPr>
                <w:sz w:val="24"/>
                <w:szCs w:val="21"/>
              </w:rPr>
              <w:t>14</w:t>
            </w:r>
            <w:r>
              <w:rPr>
                <w:rFonts w:hAnsi="宋体"/>
                <w:sz w:val="24"/>
                <w:szCs w:val="21"/>
              </w:rPr>
              <w:t>周</w:t>
            </w:r>
          </w:p>
        </w:tc>
        <w:tc>
          <w:tcPr>
            <w:tcW w:w="6974" w:type="dxa"/>
            <w:vAlign w:val="center"/>
          </w:tcPr>
          <w:p w14:paraId="579FA3C6">
            <w:pPr>
              <w:snapToGrid w:val="0"/>
              <w:jc w:val="center"/>
              <w:rPr>
                <w:sz w:val="24"/>
                <w:szCs w:val="21"/>
              </w:rPr>
            </w:pPr>
            <w:r>
              <w:rPr>
                <w:rFonts w:hint="eastAsia" w:ascii="宋体" w:hAnsi="宋体"/>
                <w:sz w:val="24"/>
                <w:szCs w:val="21"/>
              </w:rPr>
              <w:t>算法比较和优化，修改毕业论文</w:t>
            </w:r>
          </w:p>
        </w:tc>
      </w:tr>
      <w:tr w14:paraId="292EE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2" w:type="dxa"/>
            <w:vAlign w:val="center"/>
          </w:tcPr>
          <w:p w14:paraId="0F4A94C2">
            <w:pPr>
              <w:jc w:val="center"/>
              <w:rPr>
                <w:sz w:val="24"/>
                <w:szCs w:val="21"/>
              </w:rPr>
            </w:pPr>
            <w:r>
              <w:rPr>
                <w:rFonts w:hAnsi="宋体"/>
                <w:sz w:val="24"/>
                <w:szCs w:val="21"/>
              </w:rPr>
              <w:t>第</w:t>
            </w:r>
            <w:r>
              <w:rPr>
                <w:sz w:val="24"/>
                <w:szCs w:val="21"/>
              </w:rPr>
              <w:t>15</w:t>
            </w:r>
            <w:r>
              <w:rPr>
                <w:rFonts w:hAnsi="宋体"/>
                <w:sz w:val="24"/>
                <w:szCs w:val="21"/>
              </w:rPr>
              <w:t>周</w:t>
            </w:r>
          </w:p>
        </w:tc>
        <w:tc>
          <w:tcPr>
            <w:tcW w:w="6974" w:type="dxa"/>
            <w:vAlign w:val="center"/>
          </w:tcPr>
          <w:p w14:paraId="3B39884E">
            <w:pPr>
              <w:snapToGrid w:val="0"/>
              <w:jc w:val="center"/>
              <w:rPr>
                <w:sz w:val="24"/>
                <w:szCs w:val="21"/>
              </w:rPr>
            </w:pPr>
            <w:r>
              <w:rPr>
                <w:rFonts w:hint="eastAsia" w:ascii="宋体" w:hAnsi="宋体"/>
                <w:sz w:val="24"/>
                <w:szCs w:val="21"/>
              </w:rPr>
              <w:t>准备答辩材料，演示平台和</w:t>
            </w:r>
            <w:r>
              <w:rPr>
                <w:sz w:val="24"/>
                <w:szCs w:val="21"/>
              </w:rPr>
              <w:t>PPT</w:t>
            </w:r>
            <w:r>
              <w:rPr>
                <w:rFonts w:hint="eastAsia" w:ascii="宋体" w:hAnsi="宋体"/>
                <w:sz w:val="24"/>
                <w:szCs w:val="21"/>
              </w:rPr>
              <w:t>等</w:t>
            </w:r>
          </w:p>
        </w:tc>
      </w:tr>
      <w:tr w14:paraId="26736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6" w:hRule="atLeast"/>
          <w:jc w:val="center"/>
        </w:trPr>
        <w:tc>
          <w:tcPr>
            <w:tcW w:w="1362" w:type="dxa"/>
            <w:vAlign w:val="center"/>
          </w:tcPr>
          <w:p w14:paraId="07D9E7DC">
            <w:pPr>
              <w:spacing w:line="480" w:lineRule="exact"/>
              <w:jc w:val="center"/>
              <w:rPr>
                <w:rFonts w:ascii="宋体" w:hAnsi="宋体"/>
                <w:sz w:val="24"/>
                <w:szCs w:val="21"/>
              </w:rPr>
            </w:pPr>
            <w:r>
              <w:rPr>
                <w:rFonts w:hint="eastAsia" w:ascii="宋体" w:hAnsi="宋体"/>
                <w:sz w:val="24"/>
                <w:szCs w:val="21"/>
              </w:rPr>
              <w:t>指</w:t>
            </w:r>
          </w:p>
          <w:p w14:paraId="4DA0A8E8">
            <w:pPr>
              <w:spacing w:line="480" w:lineRule="exact"/>
              <w:jc w:val="center"/>
              <w:rPr>
                <w:rFonts w:ascii="宋体" w:hAnsi="宋体"/>
                <w:sz w:val="24"/>
                <w:szCs w:val="21"/>
              </w:rPr>
            </w:pPr>
            <w:r>
              <w:rPr>
                <w:rFonts w:hint="eastAsia" w:ascii="宋体" w:hAnsi="宋体"/>
                <w:sz w:val="24"/>
                <w:szCs w:val="21"/>
              </w:rPr>
              <w:t>导</w:t>
            </w:r>
          </w:p>
          <w:p w14:paraId="277C98C9">
            <w:pPr>
              <w:spacing w:line="480" w:lineRule="exact"/>
              <w:jc w:val="center"/>
              <w:rPr>
                <w:rFonts w:ascii="宋体" w:hAnsi="宋体"/>
                <w:sz w:val="24"/>
                <w:szCs w:val="21"/>
              </w:rPr>
            </w:pPr>
            <w:r>
              <w:rPr>
                <w:rFonts w:hint="eastAsia" w:ascii="宋体" w:hAnsi="宋体"/>
                <w:sz w:val="24"/>
                <w:szCs w:val="21"/>
              </w:rPr>
              <w:t>教</w:t>
            </w:r>
          </w:p>
          <w:p w14:paraId="71FE1BF3">
            <w:pPr>
              <w:spacing w:line="480" w:lineRule="exact"/>
              <w:jc w:val="center"/>
              <w:rPr>
                <w:rFonts w:ascii="宋体" w:hAnsi="宋体"/>
                <w:sz w:val="24"/>
                <w:szCs w:val="21"/>
              </w:rPr>
            </w:pPr>
            <w:r>
              <w:rPr>
                <w:rFonts w:hint="eastAsia" w:ascii="宋体" w:hAnsi="宋体"/>
                <w:sz w:val="24"/>
                <w:szCs w:val="21"/>
              </w:rPr>
              <w:t>师</w:t>
            </w:r>
          </w:p>
          <w:p w14:paraId="3C833DAD">
            <w:pPr>
              <w:spacing w:line="480" w:lineRule="exact"/>
              <w:jc w:val="center"/>
              <w:rPr>
                <w:rFonts w:ascii="宋体" w:hAnsi="宋体"/>
                <w:sz w:val="24"/>
                <w:szCs w:val="21"/>
              </w:rPr>
            </w:pPr>
            <w:r>
              <w:rPr>
                <w:rFonts w:hint="eastAsia" w:ascii="宋体" w:hAnsi="宋体"/>
                <w:sz w:val="24"/>
                <w:szCs w:val="21"/>
              </w:rPr>
              <w:t>意</w:t>
            </w:r>
          </w:p>
          <w:p w14:paraId="11E1EE31">
            <w:pPr>
              <w:spacing w:line="480" w:lineRule="exact"/>
              <w:jc w:val="center"/>
              <w:rPr>
                <w:rFonts w:ascii="仿宋_GB2312" w:hAnsi="宋体" w:eastAsia="仿宋_GB2312"/>
                <w:sz w:val="24"/>
                <w:szCs w:val="21"/>
              </w:rPr>
            </w:pPr>
            <w:r>
              <w:rPr>
                <w:rFonts w:hint="eastAsia" w:ascii="宋体" w:hAnsi="宋体"/>
                <w:sz w:val="24"/>
                <w:szCs w:val="21"/>
              </w:rPr>
              <w:t>见</w:t>
            </w:r>
          </w:p>
        </w:tc>
        <w:tc>
          <w:tcPr>
            <w:tcW w:w="6974" w:type="dxa"/>
            <w:vAlign w:val="center"/>
          </w:tcPr>
          <w:p w14:paraId="237B8733">
            <w:pPr>
              <w:spacing w:before="312" w:beforeLines="100" w:line="480" w:lineRule="exact"/>
              <w:jc w:val="center"/>
              <w:rPr>
                <w:rFonts w:ascii="仿宋_GB2312" w:hAnsi="宋体" w:eastAsia="仿宋_GB2312"/>
                <w:sz w:val="24"/>
                <w:szCs w:val="21"/>
              </w:rPr>
            </w:pPr>
          </w:p>
          <w:p w14:paraId="54FE683F">
            <w:pPr>
              <w:spacing w:before="312" w:beforeLines="100" w:line="480" w:lineRule="exact"/>
              <w:jc w:val="center"/>
              <w:rPr>
                <w:rFonts w:ascii="仿宋_GB2312" w:hAnsi="宋体" w:eastAsia="仿宋_GB2312"/>
                <w:sz w:val="24"/>
                <w:szCs w:val="21"/>
              </w:rPr>
            </w:pPr>
          </w:p>
          <w:p w14:paraId="3EF225FC">
            <w:pPr>
              <w:spacing w:before="312" w:beforeLines="100" w:line="480" w:lineRule="exact"/>
              <w:jc w:val="left"/>
              <w:rPr>
                <w:rFonts w:ascii="仿宋_GB2312" w:hAnsi="宋体" w:eastAsia="仿宋_GB2312"/>
                <w:sz w:val="24"/>
                <w:szCs w:val="21"/>
              </w:rPr>
            </w:pPr>
          </w:p>
          <w:p w14:paraId="6AA7FA01">
            <w:pPr>
              <w:spacing w:before="312" w:beforeLines="100" w:line="480" w:lineRule="exact"/>
              <w:ind w:firstLine="3549" w:firstLineChars="1479"/>
              <w:jc w:val="left"/>
              <w:rPr>
                <w:rFonts w:ascii="宋体" w:hAnsi="宋体"/>
                <w:sz w:val="24"/>
                <w:szCs w:val="21"/>
              </w:rPr>
            </w:pPr>
            <w:r>
              <w:rPr>
                <w:rFonts w:hint="eastAsia" w:ascii="宋体" w:hAnsi="宋体"/>
                <w:sz w:val="24"/>
                <w:szCs w:val="21"/>
              </w:rPr>
              <w:t xml:space="preserve">指导教师签字：  </w:t>
            </w:r>
          </w:p>
          <w:p w14:paraId="492EE0D0">
            <w:pPr>
              <w:spacing w:before="312" w:beforeLines="100" w:line="480" w:lineRule="exact"/>
              <w:jc w:val="right"/>
              <w:rPr>
                <w:rFonts w:ascii="宋体" w:hAnsi="宋体"/>
                <w:sz w:val="24"/>
                <w:szCs w:val="21"/>
              </w:rPr>
            </w:pPr>
            <w:r>
              <w:rPr>
                <w:rFonts w:hint="eastAsia" w:ascii="宋体" w:hAnsi="宋体"/>
                <w:sz w:val="24"/>
                <w:szCs w:val="21"/>
              </w:rPr>
              <w:t xml:space="preserve">          年    月   日</w:t>
            </w:r>
          </w:p>
        </w:tc>
      </w:tr>
    </w:tbl>
    <w:p w14:paraId="3536A46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g0Y2E5YzNiYjBlNDc5OTI4NGJmZjZkNTEyNDFiMjIifQ=="/>
    <w:docVar w:name="KSO_WPS_MARK_KEY" w:val="f6a028b4-c676-451f-aadf-d93b80b2cab9"/>
  </w:docVars>
  <w:rsids>
    <w:rsidRoot w:val="00675BD1"/>
    <w:rsid w:val="00011809"/>
    <w:rsid w:val="000D2E41"/>
    <w:rsid w:val="001612B1"/>
    <w:rsid w:val="00246DDC"/>
    <w:rsid w:val="002C719C"/>
    <w:rsid w:val="00436B33"/>
    <w:rsid w:val="004444B0"/>
    <w:rsid w:val="00675BD1"/>
    <w:rsid w:val="006C388E"/>
    <w:rsid w:val="007B1F04"/>
    <w:rsid w:val="008C0B4A"/>
    <w:rsid w:val="009A0458"/>
    <w:rsid w:val="00A318CF"/>
    <w:rsid w:val="00AA73D5"/>
    <w:rsid w:val="00B006A0"/>
    <w:rsid w:val="00CA1A5E"/>
    <w:rsid w:val="00D566CB"/>
    <w:rsid w:val="00E631F3"/>
    <w:rsid w:val="00FD61B7"/>
    <w:rsid w:val="088B2230"/>
    <w:rsid w:val="09D862F7"/>
    <w:rsid w:val="0A911A78"/>
    <w:rsid w:val="0B04224A"/>
    <w:rsid w:val="0EFB02AA"/>
    <w:rsid w:val="106E11BC"/>
    <w:rsid w:val="10B53081"/>
    <w:rsid w:val="11241517"/>
    <w:rsid w:val="113721B0"/>
    <w:rsid w:val="14A01236"/>
    <w:rsid w:val="1504438E"/>
    <w:rsid w:val="19244C38"/>
    <w:rsid w:val="194D3F37"/>
    <w:rsid w:val="19FA6ED3"/>
    <w:rsid w:val="1D37483E"/>
    <w:rsid w:val="1EA73230"/>
    <w:rsid w:val="1ED601C7"/>
    <w:rsid w:val="1F8F7518"/>
    <w:rsid w:val="22953011"/>
    <w:rsid w:val="22BD4A27"/>
    <w:rsid w:val="24121DA2"/>
    <w:rsid w:val="246A343C"/>
    <w:rsid w:val="260F6986"/>
    <w:rsid w:val="284D005E"/>
    <w:rsid w:val="28EE26F8"/>
    <w:rsid w:val="2CCE3433"/>
    <w:rsid w:val="2CD61525"/>
    <w:rsid w:val="2E1C5BF9"/>
    <w:rsid w:val="31FB63B8"/>
    <w:rsid w:val="35AA75DF"/>
    <w:rsid w:val="38FF2000"/>
    <w:rsid w:val="39C83E41"/>
    <w:rsid w:val="3AE3332F"/>
    <w:rsid w:val="3B2B6D72"/>
    <w:rsid w:val="3DAF03D2"/>
    <w:rsid w:val="3E812CC1"/>
    <w:rsid w:val="40A931D3"/>
    <w:rsid w:val="40D5558D"/>
    <w:rsid w:val="41B17D2F"/>
    <w:rsid w:val="42224CD6"/>
    <w:rsid w:val="462F5FCF"/>
    <w:rsid w:val="47014BAE"/>
    <w:rsid w:val="49360F70"/>
    <w:rsid w:val="4B5F0424"/>
    <w:rsid w:val="4B6F0D11"/>
    <w:rsid w:val="4C66462B"/>
    <w:rsid w:val="4D61297C"/>
    <w:rsid w:val="4E6A5FFA"/>
    <w:rsid w:val="4ED17BC9"/>
    <w:rsid w:val="551D1596"/>
    <w:rsid w:val="58C03670"/>
    <w:rsid w:val="5A98477A"/>
    <w:rsid w:val="5EA54C50"/>
    <w:rsid w:val="604E51EC"/>
    <w:rsid w:val="629B6165"/>
    <w:rsid w:val="62F45C6C"/>
    <w:rsid w:val="64ED546A"/>
    <w:rsid w:val="663D6E0B"/>
    <w:rsid w:val="66953AC9"/>
    <w:rsid w:val="673D544F"/>
    <w:rsid w:val="68E4283F"/>
    <w:rsid w:val="69BC4D4E"/>
    <w:rsid w:val="6A397513"/>
    <w:rsid w:val="6D710B1F"/>
    <w:rsid w:val="6E2D41DA"/>
    <w:rsid w:val="6F0D5676"/>
    <w:rsid w:val="701E147A"/>
    <w:rsid w:val="716938D7"/>
    <w:rsid w:val="73022719"/>
    <w:rsid w:val="75FD5919"/>
    <w:rsid w:val="7803533A"/>
    <w:rsid w:val="784132CD"/>
    <w:rsid w:val="789E3BC2"/>
    <w:rsid w:val="78C61AC8"/>
    <w:rsid w:val="79782415"/>
    <w:rsid w:val="7AC8601E"/>
    <w:rsid w:val="7B1D321A"/>
    <w:rsid w:val="7B4C6459"/>
    <w:rsid w:val="7DB77BF0"/>
    <w:rsid w:val="7F222A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semiHidden/>
    <w:unhideWhenUsed/>
    <w:qFormat/>
    <w:uiPriority w:val="35"/>
    <w:rPr>
      <w:rFonts w:ascii="Arial" w:hAnsi="Arial" w:eastAsia="黑体"/>
      <w:sz w:val="20"/>
    </w:rPr>
  </w:style>
  <w:style w:type="paragraph" w:styleId="3">
    <w:name w:val="annotation text"/>
    <w:basedOn w:val="1"/>
    <w:semiHidden/>
    <w:unhideWhenUsed/>
    <w:qFormat/>
    <w:uiPriority w:val="99"/>
    <w:pPr>
      <w:jc w:val="left"/>
    </w:p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semiHidden/>
    <w:qFormat/>
    <w:uiPriority w:val="99"/>
    <w:rPr>
      <w:sz w:val="18"/>
      <w:szCs w:val="18"/>
    </w:rPr>
  </w:style>
  <w:style w:type="character" w:customStyle="1" w:styleId="9">
    <w:name w:val="页脚 字符"/>
    <w:basedOn w:val="7"/>
    <w:link w:val="4"/>
    <w:semiHidden/>
    <w:qFormat/>
    <w:uiPriority w:val="99"/>
    <w:rPr>
      <w:sz w:val="18"/>
      <w:szCs w:val="18"/>
    </w:rPr>
  </w:style>
  <w:style w:type="paragraph" w:customStyle="1" w:styleId="10">
    <w:name w:val="题名"/>
    <w:basedOn w:val="1"/>
    <w:qFormat/>
    <w:uiPriority w:val="0"/>
    <w:pPr>
      <w:spacing w:before="360" w:after="600" w:line="400" w:lineRule="exact"/>
      <w:jc w:val="center"/>
    </w:pPr>
    <w:rPr>
      <w:rFonts w:eastAsia="黑体"/>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2161</Words>
  <Characters>2210</Characters>
  <Lines>16</Lines>
  <Paragraphs>4</Paragraphs>
  <TotalTime>83</TotalTime>
  <ScaleCrop>false</ScaleCrop>
  <LinksUpToDate>false</LinksUpToDate>
  <CharactersWithSpaces>2259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2024-01-10T17:24:00Z</dcterms:created>
  <dc:creator>admin</dc:creator>
  <cp:lastModifiedBy>Mickey</cp:lastModifiedBy>
  <dcterms:modified xsi:type="dcterms:W3CDTF">2025-01-27T14:25:30Z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76FC0EC71785403DADB7C13C2C113368_13</vt:lpwstr>
  </property>
  <property fmtid="{D5CDD505-2E9C-101B-9397-08002B2CF9AE}" pid="4" name="KSOTemplateDocerSaveRecord">
    <vt:lpwstr>eyJoZGlkIjoiOTg0Y2E5YzNiYjBlNDc5OTI4NGJmZjZkNTEyNDFiMjIiLCJ1c2VySWQiOiIyNTIyMjM2MzEifQ==</vt:lpwstr>
  </property>
</Properties>
</file>